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CA16B4" w14:textId="37EEE13E" w:rsidR="004A51A7" w:rsidRPr="004A51A7" w:rsidRDefault="004A51A7" w:rsidP="004A51A7">
      <w:pPr>
        <w:tabs>
          <w:tab w:val="center" w:pos="5174"/>
        </w:tabs>
        <w:spacing w:after="160" w:line="259" w:lineRule="auto"/>
        <w:ind w:right="142"/>
        <w:rPr>
          <w:rFonts w:ascii="Times New Roman" w:eastAsia="Calibri" w:hAnsi="Times New Roman" w:cs="Times New Roman"/>
          <w:b/>
          <w:noProof/>
          <w:lang w:val="en-US" w:eastAsia="bg-BG"/>
        </w:rPr>
      </w:pPr>
      <w:r w:rsidRPr="004A51A7">
        <w:rPr>
          <w:rFonts w:ascii="Calibri" w:eastAsia="Calibri" w:hAnsi="Calibri" w:cs="Times New Roman"/>
          <w:noProof/>
          <w:lang w:eastAsia="bg-BG"/>
        </w:rPr>
        <w:drawing>
          <wp:inline distT="0" distB="0" distL="0" distR="0" wp14:anchorId="6D682D0E" wp14:editId="738FB95F">
            <wp:extent cx="1857375" cy="63694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pic:cNvPicPr>
                      <a:picLocks noChangeAspect="1" noChangeArrowheads="1"/>
                    </pic:cNvPicPr>
                  </pic:nvPicPr>
                  <pic:blipFill>
                    <a:blip r:embed="rId5"/>
                    <a:srcRect b="10378"/>
                    <a:stretch>
                      <a:fillRect/>
                    </a:stretch>
                  </pic:blipFill>
                  <pic:spPr bwMode="auto">
                    <a:xfrm>
                      <a:off x="0" y="0"/>
                      <a:ext cx="1869189" cy="640991"/>
                    </a:xfrm>
                    <a:prstGeom prst="rect">
                      <a:avLst/>
                    </a:prstGeom>
                    <a:noFill/>
                    <a:ln w="9525">
                      <a:noFill/>
                      <a:miter lim="800000"/>
                      <a:headEnd/>
                      <a:tailEnd/>
                    </a:ln>
                  </pic:spPr>
                </pic:pic>
              </a:graphicData>
            </a:graphic>
          </wp:inline>
        </w:drawing>
      </w:r>
      <w:r w:rsidR="00E06402">
        <w:rPr>
          <w:noProof/>
        </w:rPr>
        <w:drawing>
          <wp:inline distT="0" distB="0" distL="0" distR="0" wp14:anchorId="6243DF6A" wp14:editId="60DEC1D1">
            <wp:extent cx="847725" cy="619125"/>
            <wp:effectExtent l="0" t="0" r="9525" b="9525"/>
            <wp:docPr id="4" name="Картина 4"/>
            <wp:cNvGraphicFramePr/>
            <a:graphic xmlns:a="http://schemas.openxmlformats.org/drawingml/2006/main">
              <a:graphicData uri="http://schemas.openxmlformats.org/drawingml/2006/picture">
                <pic:pic xmlns:pic="http://schemas.openxmlformats.org/drawingml/2006/picture">
                  <pic:nvPicPr>
                    <pic:cNvPr id="4" name="Картина 4"/>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47725" cy="619125"/>
                    </a:xfrm>
                    <a:prstGeom prst="rect">
                      <a:avLst/>
                    </a:prstGeom>
                    <a:noFill/>
                    <a:ln>
                      <a:noFill/>
                    </a:ln>
                  </pic:spPr>
                </pic:pic>
              </a:graphicData>
            </a:graphic>
          </wp:inline>
        </w:drawing>
      </w:r>
      <w:r w:rsidR="00F82992">
        <w:rPr>
          <w:rFonts w:ascii="Calibri" w:eastAsia="Calibri" w:hAnsi="Calibri" w:cs="Times New Roman"/>
          <w:noProof/>
          <w:lang w:eastAsia="bg-BG"/>
        </w:rPr>
        <w:t xml:space="preserve">           </w:t>
      </w:r>
      <w:r w:rsidRPr="004A51A7">
        <w:rPr>
          <w:rFonts w:ascii="Calibri" w:eastAsia="Calibri" w:hAnsi="Calibri" w:cs="Times New Roman"/>
          <w:noProof/>
          <w:lang w:eastAsia="bg-BG"/>
        </w:rPr>
        <w:drawing>
          <wp:inline distT="0" distB="0" distL="0" distR="0" wp14:anchorId="0D74337B" wp14:editId="3DE7BA9E">
            <wp:extent cx="727075" cy="685800"/>
            <wp:effectExtent l="19050" t="0" r="0" b="0"/>
            <wp:docPr id="2" name="Картина 2" descr="Описание: Описание: Logo Leader 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2" descr="Описание: Описание: Logo Leader V1"/>
                    <pic:cNvPicPr>
                      <a:picLocks noChangeAspect="1" noChangeArrowheads="1"/>
                    </pic:cNvPicPr>
                  </pic:nvPicPr>
                  <pic:blipFill>
                    <a:blip r:embed="rId7"/>
                    <a:srcRect/>
                    <a:stretch>
                      <a:fillRect/>
                    </a:stretch>
                  </pic:blipFill>
                  <pic:spPr bwMode="auto">
                    <a:xfrm>
                      <a:off x="0" y="0"/>
                      <a:ext cx="727075" cy="685800"/>
                    </a:xfrm>
                    <a:prstGeom prst="rect">
                      <a:avLst/>
                    </a:prstGeom>
                    <a:noFill/>
                    <a:ln w="9525">
                      <a:noFill/>
                      <a:miter lim="800000"/>
                      <a:headEnd/>
                      <a:tailEnd/>
                    </a:ln>
                  </pic:spPr>
                </pic:pic>
              </a:graphicData>
            </a:graphic>
          </wp:inline>
        </w:drawing>
      </w:r>
      <w:r w:rsidR="00F82992">
        <w:rPr>
          <w:rFonts w:ascii="Calibri" w:eastAsia="Calibri" w:hAnsi="Calibri" w:cs="Times New Roman"/>
          <w:noProof/>
          <w:lang w:eastAsia="bg-BG"/>
        </w:rPr>
        <w:t xml:space="preserve">            </w:t>
      </w:r>
      <w:r w:rsidRPr="004A51A7">
        <w:rPr>
          <w:rFonts w:ascii="Calibri" w:eastAsia="Calibri" w:hAnsi="Calibri" w:cs="Times New Roman"/>
          <w:noProof/>
          <w:lang w:eastAsia="bg-BG"/>
        </w:rPr>
        <w:drawing>
          <wp:inline distT="0" distB="0" distL="0" distR="0" wp14:anchorId="7DEF1D6E" wp14:editId="59490397">
            <wp:extent cx="1628140" cy="644525"/>
            <wp:effectExtent l="0" t="0" r="0" b="0"/>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8"/>
                    <a:srcRect/>
                    <a:stretch>
                      <a:fillRect/>
                    </a:stretch>
                  </pic:blipFill>
                  <pic:spPr bwMode="auto">
                    <a:xfrm>
                      <a:off x="0" y="0"/>
                      <a:ext cx="1628140" cy="644525"/>
                    </a:xfrm>
                    <a:prstGeom prst="rect">
                      <a:avLst/>
                    </a:prstGeom>
                    <a:noFill/>
                    <a:ln w="9525">
                      <a:noFill/>
                      <a:miter lim="800000"/>
                      <a:headEnd/>
                      <a:tailEnd/>
                    </a:ln>
                  </pic:spPr>
                </pic:pic>
              </a:graphicData>
            </a:graphic>
          </wp:inline>
        </w:drawing>
      </w:r>
    </w:p>
    <w:p w14:paraId="6FD5E83B" w14:textId="77777777" w:rsidR="004A51A7" w:rsidRPr="004A51A7" w:rsidRDefault="004A51A7" w:rsidP="004A51A7">
      <w:pPr>
        <w:spacing w:after="0" w:line="240" w:lineRule="auto"/>
        <w:jc w:val="center"/>
        <w:rPr>
          <w:rFonts w:ascii="Times New Roman" w:eastAsia="Calibri" w:hAnsi="Times New Roman" w:cs="Times New Roman"/>
          <w:b/>
          <w:lang w:eastAsia="bg-BG"/>
        </w:rPr>
      </w:pPr>
      <w:r w:rsidRPr="004A51A7">
        <w:rPr>
          <w:rFonts w:ascii="Times New Roman" w:eastAsia="Calibri" w:hAnsi="Times New Roman" w:cs="Times New Roman"/>
          <w:b/>
          <w:lang w:eastAsia="bg-BG"/>
        </w:rPr>
        <w:t>Програма за развитие на селските райони за периода 2014-2020 година</w:t>
      </w:r>
    </w:p>
    <w:p w14:paraId="7C3B0E8D" w14:textId="77777777" w:rsidR="004A51A7" w:rsidRPr="004A51A7" w:rsidRDefault="004A51A7" w:rsidP="004A51A7">
      <w:pPr>
        <w:spacing w:after="0" w:line="240" w:lineRule="auto"/>
        <w:jc w:val="center"/>
        <w:rPr>
          <w:rFonts w:ascii="Times New Roman" w:eastAsia="Calibri" w:hAnsi="Times New Roman" w:cs="Times New Roman"/>
          <w:b/>
          <w:lang w:val="en-US" w:eastAsia="bg-BG"/>
        </w:rPr>
      </w:pPr>
      <w:r w:rsidRPr="004A51A7">
        <w:rPr>
          <w:rFonts w:ascii="Times New Roman" w:eastAsia="Calibri" w:hAnsi="Times New Roman" w:cs="Times New Roman"/>
          <w:b/>
          <w:lang w:eastAsia="bg-BG"/>
        </w:rPr>
        <w:t>Европейски земеделски фонд за развитие на селските райони</w:t>
      </w:r>
    </w:p>
    <w:p w14:paraId="00AA1F74" w14:textId="77777777" w:rsidR="004A51A7" w:rsidRPr="004A51A7" w:rsidRDefault="004A51A7" w:rsidP="004A51A7">
      <w:pPr>
        <w:pBdr>
          <w:bottom w:val="single" w:sz="6" w:space="1" w:color="auto"/>
        </w:pBdr>
        <w:tabs>
          <w:tab w:val="center" w:pos="4536"/>
          <w:tab w:val="right" w:pos="9072"/>
        </w:tabs>
        <w:spacing w:after="160" w:line="259" w:lineRule="auto"/>
        <w:rPr>
          <w:rFonts w:ascii="Calibri" w:eastAsia="Calibri" w:hAnsi="Calibri" w:cs="Times New Roman"/>
          <w:sz w:val="10"/>
          <w:szCs w:val="10"/>
          <w:lang w:eastAsia="bg-BG"/>
        </w:rPr>
      </w:pPr>
    </w:p>
    <w:p w14:paraId="19854BBB" w14:textId="77777777" w:rsidR="00F22DF4" w:rsidRPr="00F22DF4" w:rsidRDefault="00F22DF4" w:rsidP="00F22DF4">
      <w:pPr>
        <w:tabs>
          <w:tab w:val="left" w:pos="213"/>
        </w:tabs>
        <w:spacing w:after="0" w:line="240" w:lineRule="auto"/>
        <w:jc w:val="center"/>
        <w:rPr>
          <w:rFonts w:ascii="Times New Roman" w:eastAsia="Times New Roman" w:hAnsi="Times New Roman" w:cs="Times New Roman"/>
          <w:b/>
          <w:sz w:val="24"/>
          <w:szCs w:val="24"/>
          <w:lang w:eastAsia="bg-BG"/>
        </w:rPr>
      </w:pPr>
      <w:r w:rsidRPr="00F22DF4">
        <w:rPr>
          <w:rFonts w:ascii="Times New Roman" w:eastAsia="Times New Roman" w:hAnsi="Times New Roman" w:cs="Times New Roman"/>
          <w:b/>
          <w:sz w:val="24"/>
          <w:szCs w:val="24"/>
          <w:lang w:eastAsia="bg-BG"/>
        </w:rPr>
        <w:t>МЕСТНА ИНИЦИАТИВНА ГРУПА „СТАМБОЛОВО – КЪРДЖАЛИ 54“</w:t>
      </w:r>
    </w:p>
    <w:p w14:paraId="29B70D51" w14:textId="77777777" w:rsidR="00B45181" w:rsidRDefault="00B45181" w:rsidP="00B45181">
      <w:pPr>
        <w:widowControl w:val="0"/>
        <w:autoSpaceDE w:val="0"/>
        <w:autoSpaceDN w:val="0"/>
        <w:adjustRightInd w:val="0"/>
        <w:spacing w:after="0" w:line="240" w:lineRule="auto"/>
        <w:jc w:val="right"/>
        <w:rPr>
          <w:rFonts w:ascii="Times New Roman" w:hAnsi="Times New Roman" w:cs="Times New Roman"/>
          <w:b/>
          <w:sz w:val="24"/>
          <w:szCs w:val="24"/>
        </w:rPr>
      </w:pPr>
      <w:bookmarkStart w:id="0" w:name="_GoBack"/>
      <w:bookmarkEnd w:id="0"/>
    </w:p>
    <w:p w14:paraId="6E86AD3C" w14:textId="77777777" w:rsidR="00B45181" w:rsidRDefault="00B45181" w:rsidP="00B45181">
      <w:pPr>
        <w:widowControl w:val="0"/>
        <w:autoSpaceDE w:val="0"/>
        <w:autoSpaceDN w:val="0"/>
        <w:adjustRightInd w:val="0"/>
        <w:spacing w:after="0" w:line="240" w:lineRule="auto"/>
        <w:jc w:val="right"/>
        <w:rPr>
          <w:rFonts w:ascii="Times New Roman" w:hAnsi="Times New Roman" w:cs="Times New Roman"/>
          <w:b/>
          <w:sz w:val="24"/>
          <w:szCs w:val="24"/>
        </w:rPr>
      </w:pPr>
    </w:p>
    <w:p w14:paraId="3FB0BFF6" w14:textId="77777777" w:rsidR="00B45181" w:rsidRDefault="00851F2F" w:rsidP="00B45181">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sz w:val="24"/>
          <w:szCs w:val="24"/>
        </w:rPr>
        <w:t xml:space="preserve">Приложение № </w:t>
      </w:r>
      <w:r w:rsidR="005F1A51">
        <w:rPr>
          <w:rFonts w:ascii="Times New Roman" w:hAnsi="Times New Roman" w:cs="Times New Roman"/>
          <w:b/>
          <w:sz w:val="24"/>
          <w:szCs w:val="24"/>
        </w:rPr>
        <w:t>1</w:t>
      </w:r>
      <w:r w:rsidR="00861E8E">
        <w:rPr>
          <w:rFonts w:ascii="Times New Roman" w:hAnsi="Times New Roman" w:cs="Times New Roman"/>
          <w:b/>
          <w:sz w:val="24"/>
          <w:szCs w:val="24"/>
        </w:rPr>
        <w:t xml:space="preserve"> </w:t>
      </w:r>
      <w:r w:rsidRPr="00B45181">
        <w:rPr>
          <w:rFonts w:ascii="Times New Roman" w:hAnsi="Times New Roman" w:cs="Times New Roman"/>
          <w:b/>
          <w:sz w:val="24"/>
          <w:szCs w:val="24"/>
        </w:rPr>
        <w:t>към Условия за кандидатстване</w:t>
      </w:r>
    </w:p>
    <w:p w14:paraId="7AC10479" w14:textId="77777777" w:rsidR="00851F2F" w:rsidRPr="00B45181" w:rsidRDefault="00F97204" w:rsidP="00B45181">
      <w:pPr>
        <w:widowControl w:val="0"/>
        <w:autoSpaceDE w:val="0"/>
        <w:autoSpaceDN w:val="0"/>
        <w:adjustRightInd w:val="0"/>
        <w:spacing w:after="0" w:line="240" w:lineRule="auto"/>
        <w:jc w:val="right"/>
        <w:rPr>
          <w:rFonts w:ascii="Times New Roman" w:hAnsi="Times New Roman" w:cs="Times New Roman"/>
          <w:b/>
          <w:sz w:val="24"/>
          <w:szCs w:val="24"/>
        </w:rPr>
      </w:pPr>
      <w:r w:rsidRPr="00B45181">
        <w:rPr>
          <w:rFonts w:ascii="Times New Roman" w:hAnsi="Times New Roman" w:cs="Times New Roman"/>
          <w:b/>
          <w:bCs/>
        </w:rPr>
        <w:t xml:space="preserve">– </w:t>
      </w:r>
      <w:r w:rsidR="003F4190">
        <w:rPr>
          <w:rFonts w:ascii="Times New Roman" w:hAnsi="Times New Roman" w:cs="Times New Roman"/>
          <w:b/>
          <w:bCs/>
        </w:rPr>
        <w:t xml:space="preserve">документи </w:t>
      </w:r>
      <w:r w:rsidRPr="00B45181">
        <w:rPr>
          <w:rFonts w:ascii="Times New Roman" w:hAnsi="Times New Roman" w:cs="Times New Roman"/>
          <w:b/>
          <w:bCs/>
        </w:rPr>
        <w:t>за информация</w:t>
      </w:r>
    </w:p>
    <w:p w14:paraId="59D59A6E" w14:textId="77777777" w:rsidR="00B45181" w:rsidRDefault="00B45181" w:rsidP="00851F2F">
      <w:pPr>
        <w:widowControl w:val="0"/>
        <w:autoSpaceDE w:val="0"/>
        <w:autoSpaceDN w:val="0"/>
        <w:adjustRightInd w:val="0"/>
        <w:jc w:val="center"/>
        <w:rPr>
          <w:rFonts w:ascii="Times New Roman" w:hAnsi="Times New Roman" w:cs="Times New Roman"/>
          <w:b/>
          <w:sz w:val="24"/>
          <w:szCs w:val="24"/>
        </w:rPr>
      </w:pPr>
    </w:p>
    <w:p w14:paraId="72924D31" w14:textId="77777777" w:rsidR="00851F2F" w:rsidRPr="00851F2F" w:rsidRDefault="00851F2F" w:rsidP="00851F2F">
      <w:pPr>
        <w:widowControl w:val="0"/>
        <w:autoSpaceDE w:val="0"/>
        <w:autoSpaceDN w:val="0"/>
        <w:adjustRightInd w:val="0"/>
        <w:jc w:val="center"/>
        <w:rPr>
          <w:rFonts w:ascii="Times New Roman" w:hAnsi="Times New Roman" w:cs="Times New Roman"/>
          <w:b/>
          <w:sz w:val="24"/>
          <w:szCs w:val="24"/>
        </w:rPr>
      </w:pPr>
      <w:r w:rsidRPr="00851F2F">
        <w:rPr>
          <w:rFonts w:ascii="Times New Roman" w:hAnsi="Times New Roman" w:cs="Times New Roman"/>
          <w:b/>
          <w:sz w:val="24"/>
          <w:szCs w:val="24"/>
        </w:rPr>
        <w:t>ИЗПОЛЗВАНИ СЪКРАЩЕНИЯ И ОСНОВНИ ДЕФИНИЦИИ</w:t>
      </w:r>
    </w:p>
    <w:p w14:paraId="71A84BD5" w14:textId="77777777" w:rsidR="0076171E" w:rsidRDefault="0076171E" w:rsidP="00851F2F">
      <w:pPr>
        <w:widowControl w:val="0"/>
        <w:autoSpaceDE w:val="0"/>
        <w:autoSpaceDN w:val="0"/>
        <w:adjustRightInd w:val="0"/>
        <w:jc w:val="both"/>
        <w:rPr>
          <w:rFonts w:ascii="Times New Roman" w:hAnsi="Times New Roman" w:cs="Times New Roman"/>
          <w:b/>
          <w:sz w:val="24"/>
          <w:szCs w:val="24"/>
        </w:rPr>
      </w:pPr>
    </w:p>
    <w:p w14:paraId="60720E1B" w14:textId="77777777" w:rsidR="00851F2F" w:rsidRPr="00851F2F" w:rsidRDefault="00851F2F" w:rsidP="00851F2F">
      <w:pPr>
        <w:widowControl w:val="0"/>
        <w:autoSpaceDE w:val="0"/>
        <w:autoSpaceDN w:val="0"/>
        <w:adjustRightInd w:val="0"/>
        <w:jc w:val="both"/>
        <w:rPr>
          <w:rFonts w:ascii="Times New Roman" w:hAnsi="Times New Roman" w:cs="Times New Roman"/>
          <w:b/>
          <w:sz w:val="24"/>
          <w:szCs w:val="24"/>
        </w:rPr>
      </w:pPr>
      <w:r w:rsidRPr="00851F2F">
        <w:rPr>
          <w:rFonts w:ascii="Times New Roman" w:hAnsi="Times New Roman" w:cs="Times New Roman"/>
          <w:b/>
          <w:sz w:val="24"/>
          <w:szCs w:val="24"/>
        </w:rPr>
        <w:t>По смисъла на условията за кандидатстване и условията за изпълнение:</w:t>
      </w:r>
    </w:p>
    <w:p w14:paraId="12941906"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 „Актив" е материален или нематериален актив по смисъла на Регламент (ЕС) № 651/2014 на Европейската комисия от 17 юни 2014 г. за обявяване на някои категории помощи за съвместими с вътрешния пазар в приложение на членове 107 и 108 от Договора (ОВ, L, бр. 187 от 26 юни 2014 г.). </w:t>
      </w:r>
    </w:p>
    <w:p w14:paraId="5690AE48"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 „Възстановим ДДС" е ДДС, подлежащ на възстановяване от компетентен орган по приходите съгласно разпоредбите на ЗДДС, и представлява недопустим разход по тази наредба. </w:t>
      </w:r>
    </w:p>
    <w:p w14:paraId="077AD55A"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3. „Изкуствено създадени условия" са инвестиции, за които е установена функционална несамостоятелност и/или изкуствено създадени условия за получаване на помощта с цел осъществяване на предимство в противоречие с целите на мярката.</w:t>
      </w:r>
    </w:p>
    <w:p w14:paraId="0E57A555"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 4. „Инвестиция" или „инвестиционни разходи" са средствата, вложени за придобиване на активи, включително услугите по придобиването им. </w:t>
      </w:r>
    </w:p>
    <w:p w14:paraId="536E53DE"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5. „Интензитет на помощта" е съотношението на публичното финансиране спрямо допустимите разходи по проекта, изразено в процент. </w:t>
      </w:r>
    </w:p>
    <w:p w14:paraId="4A944902"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6. „Кандидат" е лице, подало проектно предложение към стратегия за ВОМР. </w:t>
      </w:r>
    </w:p>
    <w:p w14:paraId="35C1B801"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7. „Мярка" /</w:t>
      </w:r>
      <w:r w:rsidRPr="00851F2F">
        <w:rPr>
          <w:rStyle w:val="ldef2"/>
          <w:rFonts w:ascii="Times New Roman" w:hAnsi="Times New Roman"/>
          <w:color w:val="auto"/>
          <w:sz w:val="24"/>
          <w:szCs w:val="24"/>
        </w:rPr>
        <w:t>„Подмярка"/</w:t>
      </w:r>
      <w:r w:rsidRPr="00851F2F">
        <w:rPr>
          <w:rFonts w:ascii="Times New Roman" w:hAnsi="Times New Roman" w:cs="Times New Roman"/>
          <w:color w:val="000000"/>
          <w:sz w:val="24"/>
          <w:szCs w:val="24"/>
        </w:rPr>
        <w:t xml:space="preserve"> е съвкупност от дейности, спомагащи за прилагане приоритетите на </w:t>
      </w:r>
      <w:r>
        <w:rPr>
          <w:rFonts w:ascii="Times New Roman" w:hAnsi="Times New Roman" w:cs="Times New Roman"/>
          <w:color w:val="000000"/>
          <w:sz w:val="24"/>
          <w:szCs w:val="24"/>
        </w:rPr>
        <w:t xml:space="preserve">Стратегията за ВОМР на МИГ и/или на </w:t>
      </w:r>
      <w:r w:rsidRPr="00851F2F">
        <w:rPr>
          <w:rFonts w:ascii="Times New Roman" w:hAnsi="Times New Roman" w:cs="Times New Roman"/>
          <w:color w:val="000000"/>
          <w:sz w:val="24"/>
          <w:szCs w:val="24"/>
        </w:rPr>
        <w:t xml:space="preserve">ПРСР 2014 - 2020 г. </w:t>
      </w:r>
    </w:p>
    <w:p w14:paraId="63BCD5E1"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8. „Невъзстановим ДДС" е ДДС, неподлежащ на възстановяване от компетентен орган по приходите съгласно разпоредбите на ЗДДС, и представлява допустим разход по тази наредба. </w:t>
      </w:r>
    </w:p>
    <w:p w14:paraId="5E65F892"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9. „Нередност" е понятие по смисъла на чл. 2, параграф 1, т. 36 от Регламент № 1303/2013 г. 10. „Неопреодолима сила или извънредно обстоятелство" е понятие по смисъла на чл. 2, </w:t>
      </w:r>
      <w:r w:rsidRPr="00851F2F">
        <w:rPr>
          <w:rFonts w:ascii="Times New Roman" w:hAnsi="Times New Roman" w:cs="Times New Roman"/>
          <w:sz w:val="24"/>
          <w:szCs w:val="24"/>
        </w:rPr>
        <w:lastRenderedPageBreak/>
        <w:t xml:space="preserve">параграф 2 от Регламент (ЕС) № 1306/2013 на Европейския парламент и на Съвета от 17 декември 2013 г. относно финансирането, управлението и мониторинга на общата селскостопанска политика и за отмяна на регламенти (ЕИО) № 352/78, (ЕО) № 165/94, (ЕО) № 2799/98, (ЕО) № 814/2000, (ЕО) № 1290/2005 и (ЕО) № 485/2008 на Съвета (ОВ, L, бр. 347 от 20 декември 2013 г.). </w:t>
      </w:r>
    </w:p>
    <w:p w14:paraId="08FDDF18"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11. „Обикновена подмяна" е замяна на дълготраен актив с друг, която не води до качествени или количествени изменения на произведения продукт. </w:t>
      </w:r>
    </w:p>
    <w:p w14:paraId="0E645E55"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12. „Обособена част от проекта" е завършен етап на изпълнение на проекта, който е обособен и е доведен до самостоятелна степен на завършеност. </w:t>
      </w:r>
    </w:p>
    <w:p w14:paraId="3B83A8B6"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13. „Операция" е понятие по смисъла на чл. 2, т. 9 от Регламент (ЕС) № 1303/2013.</w:t>
      </w:r>
    </w:p>
    <w:p w14:paraId="44EC330C"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14. „Очевидна грешка" е писмена грешка, грешка в пресмятането или други подобни очевидни неточности, която може да бъде непосредствено установена при техническа проверка на информацията, съдържаща се в документите. </w:t>
      </w:r>
    </w:p>
    <w:p w14:paraId="346F2089"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15. „Получател на финансова помощ" е бенефициент по смисъла на Закона за управление на средствата от Европейските структурни и инвестиционни фондове. </w:t>
      </w:r>
    </w:p>
    <w:p w14:paraId="2640050F"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16. „Проверка на място" е проверка по смисъла на Регламент (ЕО) № 809/2014. </w:t>
      </w:r>
    </w:p>
    <w:p w14:paraId="010EC966"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17. „Продължителност на неизпълнение" се преценява съобразно времето, през което траят последиците или възможността за отстраняване на тези последици по приемлив за успешното изпълнение на проекта начин. </w:t>
      </w:r>
    </w:p>
    <w:p w14:paraId="2F510354"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18. „Проект" е специфичен набор от координирани дейности, които се предприемат от кандидата за постигане на конкретни цели в определен период от време с определен бюджет. </w:t>
      </w:r>
    </w:p>
    <w:p w14:paraId="51F98CFA"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19. „Публичен принос" е общият сбор от средствата, отпускани за финансиране дейностите по стратегията за ВОМР от ЕЗФРСР, ЕФРР, ЕСФ, ЕФМДР и от националното съфинансиране. </w:t>
      </w:r>
    </w:p>
    <w:p w14:paraId="6DA22188"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20. „Референтни разходи" са пазарни цени, ползвани от ДФЗ за сравнение при определяне основателността на разхода за различни инвестиции и/или общи разходи, определени чрез сравнение с цени на националния пазар или в други държави - членки на Европейския съюз. 21. „Степен на неизпълнение" на проекта се преценява съобразно последствията от неизпълнение на дейността и отражението върху целия проект и/или неизпълнението на определените в проекта индикатори.</w:t>
      </w:r>
    </w:p>
    <w:p w14:paraId="7FED444E"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22. „Съществено нарушение" е нарушение, което ако не е било допуснато, би довело до различен резултат при подбора на проекти. </w:t>
      </w:r>
    </w:p>
    <w:p w14:paraId="4C6265BD"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23. „Функционална несамостоятелност" е изкуствено разделяне на производствените и технологичните процеси в различни проекти с цел усвояване на средства над максималния размер на общо допустимите разходи по мярката. </w:t>
      </w:r>
    </w:p>
    <w:p w14:paraId="75E5D1CF"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 xml:space="preserve">24. „Обем на договора" е стойността на изплатената по договора финансова помощ. </w:t>
      </w:r>
    </w:p>
    <w:p w14:paraId="0CAEDD5A"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lastRenderedPageBreak/>
        <w:t xml:space="preserve">25. „Финансова помощ" е безвъзмездна финансова помощ по смисъла на Закона за управление на средствата от Европейските структурни и инвестиционни фондове. </w:t>
      </w:r>
    </w:p>
    <w:p w14:paraId="2B6E6F95" w14:textId="77777777" w:rsidR="00851F2F" w:rsidRPr="00851F2F" w:rsidRDefault="00851F2F" w:rsidP="00851F2F">
      <w:pPr>
        <w:jc w:val="both"/>
        <w:rPr>
          <w:rFonts w:ascii="Times New Roman" w:hAnsi="Times New Roman" w:cs="Times New Roman"/>
          <w:sz w:val="24"/>
          <w:szCs w:val="24"/>
        </w:rPr>
      </w:pPr>
      <w:r w:rsidRPr="00851F2F">
        <w:rPr>
          <w:rFonts w:ascii="Times New Roman" w:hAnsi="Times New Roman" w:cs="Times New Roman"/>
          <w:sz w:val="24"/>
          <w:szCs w:val="24"/>
        </w:rPr>
        <w:t>26. Изчисленията за определяне на сумите по СВОМР за територията на МИГ се определят по курс 1,9558 лева за 1 евро</w:t>
      </w:r>
    </w:p>
    <w:p w14:paraId="46BB6F36" w14:textId="77777777" w:rsidR="00851F2F" w:rsidRDefault="00851F2F" w:rsidP="00851F2F">
      <w:pPr>
        <w:rPr>
          <w:rFonts w:ascii="Times New Roman" w:hAnsi="Times New Roman" w:cs="Times New Roman"/>
          <w:b/>
          <w:sz w:val="24"/>
          <w:szCs w:val="24"/>
        </w:rPr>
      </w:pPr>
    </w:p>
    <w:p w14:paraId="1FA63A6B" w14:textId="77777777" w:rsidR="00851F2F" w:rsidRPr="00851F2F" w:rsidRDefault="00851F2F" w:rsidP="00851F2F">
      <w:pPr>
        <w:rPr>
          <w:rFonts w:ascii="Times New Roman" w:hAnsi="Times New Roman" w:cs="Times New Roman"/>
          <w:b/>
          <w:color w:val="000000"/>
          <w:sz w:val="24"/>
          <w:szCs w:val="24"/>
        </w:rPr>
      </w:pPr>
      <w:r w:rsidRPr="00851F2F">
        <w:rPr>
          <w:rFonts w:ascii="Times New Roman" w:hAnsi="Times New Roman" w:cs="Times New Roman"/>
          <w:b/>
          <w:sz w:val="24"/>
          <w:szCs w:val="24"/>
        </w:rPr>
        <w:t>Допълнителни пояснения и определения  по усл</w:t>
      </w:r>
      <w:r w:rsidR="007E064C">
        <w:rPr>
          <w:rFonts w:ascii="Times New Roman" w:hAnsi="Times New Roman" w:cs="Times New Roman"/>
          <w:b/>
          <w:sz w:val="24"/>
          <w:szCs w:val="24"/>
        </w:rPr>
        <w:t>овията за прилагане на мярка 6.4</w:t>
      </w:r>
      <w:r w:rsidR="00F82992">
        <w:rPr>
          <w:rFonts w:ascii="Times New Roman" w:hAnsi="Times New Roman" w:cs="Times New Roman"/>
          <w:b/>
          <w:sz w:val="24"/>
          <w:szCs w:val="24"/>
        </w:rPr>
        <w:t>. от СВОМР</w:t>
      </w:r>
      <w:r w:rsidRPr="00851F2F">
        <w:rPr>
          <w:rFonts w:ascii="Times New Roman" w:hAnsi="Times New Roman" w:cs="Times New Roman"/>
          <w:b/>
          <w:sz w:val="24"/>
          <w:szCs w:val="24"/>
        </w:rPr>
        <w:t>:</w:t>
      </w:r>
    </w:p>
    <w:p w14:paraId="471BDF81"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w:t>
      </w:r>
      <w:r w:rsidRPr="00851F2F">
        <w:rPr>
          <w:rStyle w:val="ldef2"/>
          <w:rFonts w:ascii="Times New Roman" w:hAnsi="Times New Roman"/>
          <w:sz w:val="24"/>
          <w:szCs w:val="24"/>
        </w:rPr>
        <w:t>„Административни проверки"</w:t>
      </w:r>
      <w:r w:rsidRPr="00851F2F">
        <w:rPr>
          <w:rFonts w:ascii="Times New Roman" w:hAnsi="Times New Roman" w:cs="Times New Roman"/>
          <w:color w:val="000000"/>
          <w:sz w:val="24"/>
          <w:szCs w:val="24"/>
        </w:rPr>
        <w:t xml:space="preserve"> са проверки съгласно условията и разпоредбите на чл. 48 от Регламент за изпълнение (ЕС) № 809/2014. </w:t>
      </w:r>
    </w:p>
    <w:p w14:paraId="135A4064"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w:t>
      </w:r>
      <w:r w:rsidRPr="00851F2F">
        <w:rPr>
          <w:rStyle w:val="ldef2"/>
          <w:rFonts w:ascii="Times New Roman" w:hAnsi="Times New Roman"/>
          <w:sz w:val="24"/>
          <w:szCs w:val="24"/>
        </w:rPr>
        <w:t>„Авансово плащане"</w:t>
      </w:r>
      <w:r w:rsidRPr="00851F2F">
        <w:rPr>
          <w:rFonts w:ascii="Times New Roman" w:hAnsi="Times New Roman" w:cs="Times New Roman"/>
          <w:color w:val="000000"/>
          <w:sz w:val="24"/>
          <w:szCs w:val="24"/>
        </w:rPr>
        <w:t xml:space="preserve"> е плащане по смисъла на чл. 63 от Регламент (ЕС) № 1305/2013 на Европейския парламент и на Съвета от 17 декември 2013 г. относно подпомагане на развитието на селските райони от Европейския земеделски фонд за развитие на селските райони (ЕЗФРСР) и за отмяна на Регламент (ЕО) № 1698/2005 на Съвета (ОВ, L 347/487 от 20 декември 2013 г.). </w:t>
      </w:r>
    </w:p>
    <w:p w14:paraId="0864FEB8"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Pr="00851F2F">
        <w:rPr>
          <w:rStyle w:val="ldef2"/>
          <w:rFonts w:ascii="Times New Roman" w:hAnsi="Times New Roman"/>
          <w:sz w:val="24"/>
          <w:szCs w:val="24"/>
        </w:rPr>
        <w:t>„Биоенергия"</w:t>
      </w:r>
      <w:r w:rsidRPr="00851F2F">
        <w:rPr>
          <w:rFonts w:ascii="Times New Roman" w:hAnsi="Times New Roman" w:cs="Times New Roman"/>
          <w:color w:val="000000"/>
          <w:sz w:val="24"/>
          <w:szCs w:val="24"/>
        </w:rPr>
        <w:t xml:space="preserve"> е енергия, включително под формата на течни или газообразни горива, която е получена от преработката на биомаса. </w:t>
      </w:r>
    </w:p>
    <w:p w14:paraId="258C89C6"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4.</w:t>
      </w:r>
      <w:r w:rsidRPr="00851F2F">
        <w:rPr>
          <w:rStyle w:val="ldef2"/>
          <w:rFonts w:ascii="Times New Roman" w:hAnsi="Times New Roman"/>
          <w:sz w:val="24"/>
          <w:szCs w:val="24"/>
        </w:rPr>
        <w:t>„Биомаса"</w:t>
      </w:r>
      <w:r w:rsidRPr="00851F2F">
        <w:rPr>
          <w:rFonts w:ascii="Times New Roman" w:hAnsi="Times New Roman" w:cs="Times New Roman"/>
          <w:color w:val="000000"/>
          <w:sz w:val="24"/>
          <w:szCs w:val="24"/>
        </w:rPr>
        <w:t xml:space="preserve"> е всяка органична материя с растителен произход, която може да бъде рециклирана, включително специализирани култури и горски продукти, селскостопанска храна и фураж, отпадъци и остатъци от селскостопански реколти, отпадъци и остатъци от дървесина, водни растения, животински и торов отпадък, органични, битови отпадъци и други отпадъчни материали. </w:t>
      </w:r>
    </w:p>
    <w:p w14:paraId="1B8E3BDC"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5.</w:t>
      </w:r>
      <w:r w:rsidRPr="00851F2F">
        <w:rPr>
          <w:rStyle w:val="ldef2"/>
          <w:rFonts w:ascii="Times New Roman" w:hAnsi="Times New Roman"/>
          <w:sz w:val="24"/>
          <w:szCs w:val="24"/>
        </w:rPr>
        <w:t>„Биогориво"</w:t>
      </w:r>
      <w:r w:rsidRPr="00851F2F">
        <w:rPr>
          <w:rFonts w:ascii="Times New Roman" w:hAnsi="Times New Roman" w:cs="Times New Roman"/>
          <w:color w:val="000000"/>
          <w:sz w:val="24"/>
          <w:szCs w:val="24"/>
        </w:rPr>
        <w:t xml:space="preserve"> са течни, газообразни или твърди горива, произведени от биомаса (пелети, брикети, нарязана и пресована слама и други остатъчни продукти от преработка на земеделски суровини, биодизел, биоетанол, етери, произведени от биоетанол), включително биогориво, произведено от зърнени култури и други култури, богати на скорбяла, захар и маслодайни култури, съгласно определението в чл. 1, параграф 1 от Директива (ЕС) 2015/1513 на Eвропейския парламент и на Съвета от 9 септември 2015 г. за изменение на Директива 98/70/ЕО относно качеството на бензиновите и дизеловите горива и за изменение на Директива 2009/28/ЕО за насърчаване използването на енергия от възобновяеми източници (ОВ, L 239/1 от 15.9.2015 г.). </w:t>
      </w:r>
    </w:p>
    <w:p w14:paraId="3A9B32FA"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6.</w:t>
      </w:r>
      <w:r w:rsidRPr="00851F2F">
        <w:rPr>
          <w:rStyle w:val="ldef2"/>
          <w:rFonts w:ascii="Times New Roman" w:hAnsi="Times New Roman"/>
          <w:sz w:val="24"/>
          <w:szCs w:val="24"/>
        </w:rPr>
        <w:t>„Възобновяеми енергийни източници"</w:t>
      </w:r>
      <w:r w:rsidRPr="00851F2F">
        <w:rPr>
          <w:rFonts w:ascii="Times New Roman" w:hAnsi="Times New Roman" w:cs="Times New Roman"/>
          <w:color w:val="000000"/>
          <w:sz w:val="24"/>
          <w:szCs w:val="24"/>
        </w:rPr>
        <w:t xml:space="preserve"> са неизкопаеми енергийни източници, които съдържат слънчева, вятърна, водна и геотермална енергия, включително енергия на вълните и енергия на приливите и отливите, възобновяващи се без видимо изтощаване при използването им, както и отпадни топлини, енергия от биомаса и енергията от индустриални и битови отпадъци. </w:t>
      </w:r>
    </w:p>
    <w:p w14:paraId="6EFF624E" w14:textId="77777777" w:rsidR="00712AB6" w:rsidRDefault="00851F2F" w:rsidP="00851F2F">
      <w:pPr>
        <w:ind w:firstLine="480"/>
        <w:jc w:val="both"/>
        <w:rPr>
          <w:rStyle w:val="alcapt2"/>
          <w:rFonts w:ascii="Times New Roman" w:hAnsi="Times New Roman"/>
          <w:color w:val="000000"/>
          <w:sz w:val="24"/>
          <w:szCs w:val="24"/>
        </w:rPr>
      </w:pPr>
      <w:r w:rsidRPr="00851F2F">
        <w:rPr>
          <w:rStyle w:val="alcapt2"/>
          <w:rFonts w:ascii="Times New Roman" w:hAnsi="Times New Roman"/>
          <w:color w:val="000000"/>
          <w:sz w:val="24"/>
          <w:szCs w:val="24"/>
        </w:rPr>
        <w:t>7</w:t>
      </w:r>
      <w:r w:rsidR="00975288">
        <w:rPr>
          <w:rStyle w:val="alcapt2"/>
          <w:rFonts w:ascii="Times New Roman" w:hAnsi="Times New Roman"/>
          <w:color w:val="000000"/>
          <w:sz w:val="24"/>
          <w:szCs w:val="24"/>
        </w:rPr>
        <w:t>.</w:t>
      </w:r>
      <w:r w:rsidR="002844CE" w:rsidRPr="002844CE">
        <w:rPr>
          <w:rFonts w:ascii="Times New Roman" w:hAnsi="Times New Roman" w:cs="Times New Roman"/>
          <w:sz w:val="24"/>
          <w:szCs w:val="24"/>
        </w:rPr>
        <w:t xml:space="preserve"> </w:t>
      </w:r>
      <w:r w:rsidR="002844CE" w:rsidRPr="002844CE">
        <w:rPr>
          <w:rFonts w:ascii="Times New Roman" w:hAnsi="Times New Roman" w:cs="Times New Roman"/>
          <w:color w:val="FF0000"/>
          <w:sz w:val="24"/>
          <w:szCs w:val="24"/>
        </w:rPr>
        <w:t>„ДДС”</w:t>
      </w:r>
      <w:r w:rsidR="002844CE">
        <w:rPr>
          <w:rFonts w:ascii="Times New Roman" w:hAnsi="Times New Roman" w:cs="Times New Roman"/>
          <w:sz w:val="24"/>
          <w:szCs w:val="24"/>
        </w:rPr>
        <w:t xml:space="preserve"> – данък добавена стойност</w:t>
      </w:r>
      <w:r w:rsidR="002844CE" w:rsidRPr="002844CE">
        <w:rPr>
          <w:rFonts w:ascii="Times New Roman" w:hAnsi="Times New Roman" w:cs="Times New Roman"/>
          <w:sz w:val="24"/>
          <w:szCs w:val="24"/>
        </w:rPr>
        <w:t xml:space="preserve"> </w:t>
      </w:r>
      <w:r w:rsidR="002844CE" w:rsidRPr="00851F2F">
        <w:rPr>
          <w:rFonts w:ascii="Times New Roman" w:hAnsi="Times New Roman" w:cs="Times New Roman"/>
          <w:sz w:val="24"/>
          <w:szCs w:val="24"/>
        </w:rPr>
        <w:t xml:space="preserve">съгласно разпоредбите на </w:t>
      </w:r>
      <w:r w:rsidR="002844CE">
        <w:rPr>
          <w:rFonts w:ascii="Times New Roman" w:hAnsi="Times New Roman" w:cs="Times New Roman"/>
          <w:sz w:val="24"/>
          <w:szCs w:val="24"/>
        </w:rPr>
        <w:t>Закона за данък върху добавената стойност -  ЗДДС.</w:t>
      </w:r>
    </w:p>
    <w:p w14:paraId="566B4119" w14:textId="77777777" w:rsidR="00851F2F" w:rsidRPr="00851F2F" w:rsidRDefault="00712AB6"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lastRenderedPageBreak/>
        <w:t>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„Дейност"</w:t>
      </w:r>
      <w:r w:rsidR="00851F2F" w:rsidRPr="00851F2F">
        <w:rPr>
          <w:rFonts w:ascii="Times New Roman" w:hAnsi="Times New Roman" w:cs="Times New Roman"/>
          <w:color w:val="000000"/>
          <w:sz w:val="24"/>
          <w:szCs w:val="24"/>
        </w:rPr>
        <w:t xml:space="preserve"> е проект, договор, споразумение или друг механизъм, избран съгласно заложените в ПРСР 2014-2020 г. критерии, който се отнася до и се осъществява от един или повече ползватели на помощ, предвид постигането на поставените цели в ПРСР 2014-20 г. </w:t>
      </w:r>
    </w:p>
    <w:p w14:paraId="6BAD322C"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9.</w:t>
      </w:r>
      <w:r w:rsidRPr="00851F2F">
        <w:rPr>
          <w:rStyle w:val="ldef2"/>
          <w:rFonts w:ascii="Times New Roman" w:hAnsi="Times New Roman"/>
          <w:sz w:val="24"/>
          <w:szCs w:val="24"/>
        </w:rPr>
        <w:t>„Добра производствена практика"</w:t>
      </w:r>
      <w:r w:rsidRPr="00851F2F">
        <w:rPr>
          <w:rFonts w:ascii="Times New Roman" w:hAnsi="Times New Roman" w:cs="Times New Roman"/>
          <w:color w:val="000000"/>
          <w:sz w:val="24"/>
          <w:szCs w:val="24"/>
        </w:rPr>
        <w:t xml:space="preserve"> е система за осигуряване на качество и безопасност, която гарантира, че храните се произвеждат и контролират в съответствие с утвърдените стандарти, нормативи и други изисквания за качество и безопасност съобразно предназначението им и в съответствие с изискванията за издаване на разрешително за тяхното производство, търговия и употреба. </w:t>
      </w:r>
    </w:p>
    <w:p w14:paraId="6E6AB6DF"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10.</w:t>
      </w:r>
      <w:r w:rsidRPr="00851F2F">
        <w:rPr>
          <w:rStyle w:val="ldef2"/>
          <w:rFonts w:ascii="Times New Roman" w:hAnsi="Times New Roman"/>
          <w:sz w:val="24"/>
          <w:szCs w:val="24"/>
        </w:rPr>
        <w:t>„Доминиращо влияние"</w:t>
      </w:r>
      <w:r w:rsidRPr="00851F2F">
        <w:rPr>
          <w:rFonts w:ascii="Times New Roman" w:hAnsi="Times New Roman" w:cs="Times New Roman"/>
          <w:color w:val="000000"/>
          <w:sz w:val="24"/>
          <w:szCs w:val="24"/>
        </w:rPr>
        <w:t xml:space="preserve"> върху юридическо лице е влиянието на друго лице, което: </w:t>
      </w:r>
    </w:p>
    <w:p w14:paraId="0EF670A4"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притежава мажоритарния дял от капитала на юридическото лице, или </w:t>
      </w:r>
    </w:p>
    <w:p w14:paraId="1F4BFF26"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притежава блокираща квота в капитала на юридическото лице, или </w:t>
      </w:r>
    </w:p>
    <w:p w14:paraId="418817CA"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може да назначава повече от половината от членовете на управителните или контролните органи на юридическото лице. </w:t>
      </w:r>
    </w:p>
    <w:p w14:paraId="1D05890F"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11.</w:t>
      </w:r>
      <w:r w:rsidRPr="00851F2F">
        <w:rPr>
          <w:rStyle w:val="ldef2"/>
          <w:rFonts w:ascii="Times New Roman" w:hAnsi="Times New Roman"/>
          <w:sz w:val="24"/>
          <w:szCs w:val="24"/>
        </w:rPr>
        <w:t>„Енергийна ефективност в рамките на предприятието"</w:t>
      </w:r>
      <w:r w:rsidRPr="00851F2F">
        <w:rPr>
          <w:rFonts w:ascii="Times New Roman" w:hAnsi="Times New Roman" w:cs="Times New Roman"/>
          <w:color w:val="000000"/>
          <w:sz w:val="24"/>
          <w:szCs w:val="24"/>
        </w:rPr>
        <w:t xml:space="preserve"> е съотношението между изходното количество произведена стока или продукция и вложеното количество енергия, като инвестициите по проекта трябва да допринасят за енергийно спестяване в рамките на цялото предприятие спрямо годишното потребление на енергия за годината, предхождаща годината на подаване на заявлението за подпомагане. За нови предприятия трябва да е налице надхвърляне на задължителните минимални изисквания за енергийна ефективност по Закона за енергийна ефективност и Закона за устройство на територията и е налице повишаване на енергийната ефективност с минимум 10 на сто за предприятието. </w:t>
      </w:r>
    </w:p>
    <w:p w14:paraId="7867D4C5"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12.</w:t>
      </w:r>
      <w:r w:rsidRPr="00851F2F">
        <w:rPr>
          <w:rStyle w:val="ldef2"/>
          <w:rFonts w:ascii="Times New Roman" w:hAnsi="Times New Roman"/>
          <w:sz w:val="24"/>
          <w:szCs w:val="24"/>
        </w:rPr>
        <w:t>„Изкуствено създадени условия"</w:t>
      </w:r>
      <w:r w:rsidRPr="00851F2F">
        <w:rPr>
          <w:rFonts w:ascii="Times New Roman" w:hAnsi="Times New Roman" w:cs="Times New Roman"/>
          <w:color w:val="000000"/>
          <w:sz w:val="24"/>
          <w:szCs w:val="24"/>
        </w:rPr>
        <w:t xml:space="preserve"> е всяко установено условие по смисъла на чл. 60 от Регламент (ЕС) № 1306/2013. </w:t>
      </w:r>
    </w:p>
    <w:p w14:paraId="425A7EFB"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13.</w:t>
      </w:r>
      <w:r w:rsidRPr="00851F2F">
        <w:rPr>
          <w:rStyle w:val="ldef2"/>
          <w:rFonts w:ascii="Times New Roman" w:hAnsi="Times New Roman"/>
          <w:sz w:val="24"/>
          <w:szCs w:val="24"/>
        </w:rPr>
        <w:t>„Икономическа жизнеспособност"</w:t>
      </w:r>
      <w:r w:rsidRPr="00851F2F">
        <w:rPr>
          <w:rFonts w:ascii="Times New Roman" w:hAnsi="Times New Roman" w:cs="Times New Roman"/>
          <w:color w:val="000000"/>
          <w:sz w:val="24"/>
          <w:szCs w:val="24"/>
        </w:rPr>
        <w:t xml:space="preserve"> е генерирането на доходи от дейността, гарантиращи устойчивост на предприятието за периода на бизнес плана. </w:t>
      </w:r>
    </w:p>
    <w:p w14:paraId="24C62EF0"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14.</w:t>
      </w:r>
      <w:r w:rsidRPr="00851F2F">
        <w:rPr>
          <w:rStyle w:val="ldef2"/>
          <w:rFonts w:ascii="Times New Roman" w:hAnsi="Times New Roman"/>
          <w:sz w:val="24"/>
          <w:szCs w:val="24"/>
        </w:rPr>
        <w:t>„Икономически размер на стопанство"</w:t>
      </w:r>
      <w:r w:rsidRPr="00851F2F">
        <w:rPr>
          <w:rFonts w:ascii="Times New Roman" w:hAnsi="Times New Roman" w:cs="Times New Roman"/>
          <w:color w:val="000000"/>
          <w:sz w:val="24"/>
          <w:szCs w:val="24"/>
        </w:rPr>
        <w:t xml:space="preserve"> е размерът на земеделското стопанство, изразен в стандартен производствен обем. </w:t>
      </w:r>
    </w:p>
    <w:p w14:paraId="6203792A"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15.</w:t>
      </w:r>
      <w:r w:rsidRPr="00851F2F">
        <w:rPr>
          <w:rStyle w:val="ldef2"/>
          <w:rFonts w:ascii="Times New Roman" w:hAnsi="Times New Roman"/>
          <w:sz w:val="24"/>
          <w:szCs w:val="24"/>
        </w:rPr>
        <w:t>„Иновации"</w:t>
      </w:r>
      <w:r w:rsidRPr="00851F2F">
        <w:rPr>
          <w:rFonts w:ascii="Times New Roman" w:hAnsi="Times New Roman" w:cs="Times New Roman"/>
          <w:color w:val="000000"/>
          <w:sz w:val="24"/>
          <w:szCs w:val="24"/>
        </w:rPr>
        <w:t xml:space="preserve"> са: иновативен продукт, произвеждан от стопанството/предприятието, въвеждане на нов производствен процес (машини, съоръжения и оборудване) или нова практика, въвеждане на нова организационна форма, включително маркетинг, подкрепени с удостоверение за ползван патент и/или удостоверение за полезен модел, внедрена в рамките на две години преди датата на подаване на заявлението за подпомагане. За иновации не се смятат малки промени или подобрения, увеличаване на количеството произвеждана продукция чрез прибавяне на производствени или логистични системи, много близки до вече съществуващи такива, изваждане от употреба на определен процес, само подмяна на дълготрайни материални активи (ДМА) или надграждането им, промени, произтичащи изцяло от промени в цените на производствените фактори, сезонни или други циклични </w:t>
      </w:r>
      <w:r w:rsidRPr="00851F2F">
        <w:rPr>
          <w:rFonts w:ascii="Times New Roman" w:hAnsi="Times New Roman" w:cs="Times New Roman"/>
          <w:color w:val="000000"/>
          <w:sz w:val="24"/>
          <w:szCs w:val="24"/>
        </w:rPr>
        <w:lastRenderedPageBreak/>
        <w:t xml:space="preserve">промени, търговия с нови или значително подобрени продукти, както и промени в организацията на работното място или външните отношения, които се основават на организационни методи, които вече се използват в стопанството. </w:t>
      </w:r>
    </w:p>
    <w:p w14:paraId="3A4C2124"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16.</w:t>
      </w:r>
      <w:r w:rsidRPr="00851F2F">
        <w:rPr>
          <w:rStyle w:val="ldef2"/>
          <w:rFonts w:ascii="Times New Roman" w:hAnsi="Times New Roman"/>
          <w:sz w:val="24"/>
          <w:szCs w:val="24"/>
        </w:rPr>
        <w:t>„Интегрирани проекти"</w:t>
      </w:r>
      <w:r w:rsidRPr="00851F2F">
        <w:rPr>
          <w:rFonts w:ascii="Times New Roman" w:hAnsi="Times New Roman" w:cs="Times New Roman"/>
          <w:color w:val="000000"/>
          <w:sz w:val="24"/>
          <w:szCs w:val="24"/>
        </w:rPr>
        <w:t xml:space="preserve"> са проекти, изпълнявани от един кандидат и съчетаващи най-малко две дейности или операции, попадащи в обхвата на две различни мерки: </w:t>
      </w:r>
    </w:p>
    <w:p w14:paraId="15A0369A"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мярка 4 и мярка 6; </w:t>
      </w:r>
    </w:p>
    <w:p w14:paraId="3E5B613A"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мярка 4 и мярка 8; </w:t>
      </w:r>
    </w:p>
    <w:p w14:paraId="52ADB926"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мярка 4 и мярка 9; </w:t>
      </w:r>
    </w:p>
    <w:p w14:paraId="6DA4C0CB"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Fonts w:ascii="Times New Roman" w:hAnsi="Times New Roman" w:cs="Times New Roman"/>
          <w:color w:val="000000"/>
          <w:sz w:val="24"/>
          <w:szCs w:val="24"/>
        </w:rPr>
        <w:t>или подмерки от тези мерки от ПРСР 2014 - 2020 г., като проектите трябва да допринасят и показват по-добри финансови резултати от дейността на кандидата в резултат на едновременното изпълнение на съответните дейности или операции.</w:t>
      </w:r>
    </w:p>
    <w:p w14:paraId="64850B5A"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17.</w:t>
      </w:r>
      <w:r w:rsidRPr="00851F2F">
        <w:rPr>
          <w:rStyle w:val="ldef2"/>
          <w:rFonts w:ascii="Times New Roman" w:hAnsi="Times New Roman"/>
          <w:sz w:val="24"/>
          <w:szCs w:val="24"/>
        </w:rPr>
        <w:t>„Колективни инвестиции"</w:t>
      </w:r>
      <w:r w:rsidRPr="00851F2F">
        <w:rPr>
          <w:rFonts w:ascii="Times New Roman" w:hAnsi="Times New Roman" w:cs="Times New Roman"/>
          <w:color w:val="000000"/>
          <w:sz w:val="24"/>
          <w:szCs w:val="24"/>
        </w:rPr>
        <w:t xml:space="preserve"> са инвестиции, свързани с осигуряване на сътрудничеството между над 6 земеделски стопани или признати групи/организации на производители, чрез предприемане на по-ефективни и икономически изгодни инвестиции в общи съоръжения, оборудване, инфраструктура и др. </w:t>
      </w:r>
    </w:p>
    <w:p w14:paraId="5F117334"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18.</w:t>
      </w:r>
      <w:r w:rsidRPr="00851F2F">
        <w:rPr>
          <w:rStyle w:val="ldef2"/>
          <w:rFonts w:ascii="Times New Roman" w:hAnsi="Times New Roman"/>
          <w:sz w:val="24"/>
          <w:szCs w:val="24"/>
        </w:rPr>
        <w:t>„Маркетинг на продукт"</w:t>
      </w:r>
      <w:r w:rsidRPr="00851F2F">
        <w:rPr>
          <w:rFonts w:ascii="Times New Roman" w:hAnsi="Times New Roman" w:cs="Times New Roman"/>
          <w:color w:val="000000"/>
          <w:sz w:val="24"/>
          <w:szCs w:val="24"/>
        </w:rPr>
        <w:t xml:space="preserve"> е притежаване или излагане с цел продажба, предлагане за продан, доставяне или изнасяне на пазара по какъвто и да било начин на даден продукт; маркетинг на продукт включва и дейностите по неговото съхранение, сортиране, маркиране, опаковане и транспортиране. </w:t>
      </w:r>
    </w:p>
    <w:p w14:paraId="3B7D873B"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19.</w:t>
      </w:r>
      <w:r w:rsidRPr="00851F2F">
        <w:rPr>
          <w:rStyle w:val="ldef2"/>
          <w:rFonts w:ascii="Times New Roman" w:hAnsi="Times New Roman"/>
          <w:sz w:val="24"/>
          <w:szCs w:val="24"/>
        </w:rPr>
        <w:t>„Материални активи"</w:t>
      </w:r>
      <w:r w:rsidRPr="00851F2F">
        <w:rPr>
          <w:rFonts w:ascii="Times New Roman" w:hAnsi="Times New Roman" w:cs="Times New Roman"/>
          <w:color w:val="000000"/>
          <w:sz w:val="24"/>
          <w:szCs w:val="24"/>
        </w:rPr>
        <w:t xml:space="preserve"> са активи, отнасящи се до земя, сгради, машини и съоръжения. </w:t>
      </w:r>
    </w:p>
    <w:p w14:paraId="59B9A724"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20.</w:t>
      </w:r>
      <w:r w:rsidRPr="00851F2F">
        <w:rPr>
          <w:rStyle w:val="ldef2"/>
          <w:rFonts w:ascii="Times New Roman" w:hAnsi="Times New Roman"/>
          <w:sz w:val="24"/>
          <w:szCs w:val="24"/>
        </w:rPr>
        <w:t>„Междинно плащане"</w:t>
      </w:r>
      <w:r w:rsidRPr="00851F2F">
        <w:rPr>
          <w:rFonts w:ascii="Times New Roman" w:hAnsi="Times New Roman" w:cs="Times New Roman"/>
          <w:color w:val="000000"/>
          <w:sz w:val="24"/>
          <w:szCs w:val="24"/>
        </w:rPr>
        <w:t xml:space="preserve"> е плащане за обособена част от одобрената и извършена инвестиция. </w:t>
      </w:r>
    </w:p>
    <w:p w14:paraId="424DFF92"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21.</w:t>
      </w:r>
      <w:r w:rsidRPr="00851F2F">
        <w:rPr>
          <w:rStyle w:val="ldef2"/>
          <w:rFonts w:ascii="Times New Roman" w:hAnsi="Times New Roman"/>
          <w:sz w:val="24"/>
          <w:szCs w:val="24"/>
        </w:rPr>
        <w:t>„Международно признат стандарт"</w:t>
      </w:r>
      <w:r w:rsidRPr="00851F2F">
        <w:rPr>
          <w:rFonts w:ascii="Times New Roman" w:hAnsi="Times New Roman" w:cs="Times New Roman"/>
          <w:color w:val="000000"/>
          <w:sz w:val="24"/>
          <w:szCs w:val="24"/>
        </w:rPr>
        <w:t xml:space="preserve"> е стандарт, който е приет от международна организация по стандартизация или международна организация с дейност по стандартизация и е общодостъпен. </w:t>
      </w:r>
    </w:p>
    <w:p w14:paraId="455268AB"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22.</w:t>
      </w:r>
      <w:r w:rsidRPr="00851F2F">
        <w:rPr>
          <w:rStyle w:val="ldef2"/>
          <w:rFonts w:ascii="Times New Roman" w:hAnsi="Times New Roman"/>
          <w:sz w:val="24"/>
          <w:szCs w:val="24"/>
        </w:rPr>
        <w:t>„Места по националната екологична мрежа Натура 2000"</w:t>
      </w:r>
      <w:r w:rsidRPr="00851F2F">
        <w:rPr>
          <w:rFonts w:ascii="Times New Roman" w:hAnsi="Times New Roman" w:cs="Times New Roman"/>
          <w:color w:val="000000"/>
          <w:sz w:val="24"/>
          <w:szCs w:val="24"/>
        </w:rPr>
        <w:t xml:space="preserve"> са защитените зони по смисъла на чл. 6, ал. 1 от Закона за биологичното разнообразие. </w:t>
      </w:r>
    </w:p>
    <w:p w14:paraId="05863FCB"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23.</w:t>
      </w:r>
      <w:r w:rsidRPr="00851F2F">
        <w:rPr>
          <w:rStyle w:val="ldef2"/>
          <w:rFonts w:ascii="Times New Roman" w:hAnsi="Times New Roman"/>
          <w:sz w:val="24"/>
          <w:szCs w:val="24"/>
        </w:rPr>
        <w:t>„Микропредприятия, малки предприятия, средни предприятия"</w:t>
      </w:r>
      <w:r w:rsidRPr="00851F2F">
        <w:rPr>
          <w:rFonts w:ascii="Times New Roman" w:hAnsi="Times New Roman" w:cs="Times New Roman"/>
          <w:color w:val="000000"/>
          <w:sz w:val="24"/>
          <w:szCs w:val="24"/>
        </w:rPr>
        <w:t xml:space="preserve"> са предприятия по смисъла на Закона за малките и средните предприятия. </w:t>
      </w:r>
    </w:p>
    <w:p w14:paraId="0A49EFCB"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24</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„Независими оферти"</w:t>
      </w:r>
      <w:r w:rsidR="00851F2F" w:rsidRPr="00851F2F">
        <w:rPr>
          <w:rFonts w:ascii="Times New Roman" w:hAnsi="Times New Roman" w:cs="Times New Roman"/>
          <w:color w:val="000000"/>
          <w:sz w:val="24"/>
          <w:szCs w:val="24"/>
        </w:rPr>
        <w:t xml:space="preserve"> са оферти, подадени от лица, които не се намират в следната свързаност помежду си или спрямо кандидата: </w:t>
      </w:r>
    </w:p>
    <w:p w14:paraId="5180F631"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а)</w:t>
      </w:r>
      <w:r w:rsidRPr="00851F2F">
        <w:rPr>
          <w:rFonts w:ascii="Times New Roman" w:hAnsi="Times New Roman" w:cs="Times New Roman"/>
          <w:color w:val="000000"/>
          <w:sz w:val="24"/>
          <w:szCs w:val="24"/>
        </w:rPr>
        <w:t xml:space="preserve"> едното участва в управлението на дружеството на другото; </w:t>
      </w:r>
    </w:p>
    <w:p w14:paraId="5B719F86"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съдружници; </w:t>
      </w:r>
    </w:p>
    <w:p w14:paraId="3101BCD6"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съвместно контролират пряко трето лице; </w:t>
      </w:r>
    </w:p>
    <w:p w14:paraId="2AB61976"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г)</w:t>
      </w:r>
      <w:r w:rsidRPr="00851F2F">
        <w:rPr>
          <w:rFonts w:ascii="Times New Roman" w:hAnsi="Times New Roman" w:cs="Times New Roman"/>
          <w:color w:val="000000"/>
          <w:sz w:val="24"/>
          <w:szCs w:val="24"/>
        </w:rPr>
        <w:t xml:space="preserve"> участват пряко в управлението или капитала на друго лице, поради което между тях могат да се уговарят условия, различни от обичайните; </w:t>
      </w:r>
    </w:p>
    <w:p w14:paraId="26FB94CB"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д)</w:t>
      </w:r>
      <w:r w:rsidRPr="00851F2F">
        <w:rPr>
          <w:rFonts w:ascii="Times New Roman" w:hAnsi="Times New Roman" w:cs="Times New Roman"/>
          <w:color w:val="000000"/>
          <w:sz w:val="24"/>
          <w:szCs w:val="24"/>
        </w:rPr>
        <w:t xml:space="preserve"> едното лице притежава повече от половината от броя на гласовете в общото събрание на другото лице; </w:t>
      </w:r>
    </w:p>
    <w:p w14:paraId="1C87E9D1"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е)</w:t>
      </w:r>
      <w:r w:rsidRPr="00851F2F">
        <w:rPr>
          <w:rFonts w:ascii="Times New Roman" w:hAnsi="Times New Roman" w:cs="Times New Roman"/>
          <w:color w:val="000000"/>
          <w:sz w:val="24"/>
          <w:szCs w:val="24"/>
        </w:rPr>
        <w:t xml:space="preserve"> лицата, чиято дейност се контролира пряко или косвено от трето лице - физическо или юридическо; </w:t>
      </w:r>
    </w:p>
    <w:p w14:paraId="2521C800"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ж)</w:t>
      </w:r>
      <w:r w:rsidRPr="00851F2F">
        <w:rPr>
          <w:rFonts w:ascii="Times New Roman" w:hAnsi="Times New Roman" w:cs="Times New Roman"/>
          <w:color w:val="000000"/>
          <w:sz w:val="24"/>
          <w:szCs w:val="24"/>
        </w:rPr>
        <w:t xml:space="preserve"> лицата, едното от които е търговски представител на другото. </w:t>
      </w:r>
    </w:p>
    <w:p w14:paraId="1C027002"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25</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„Нематериални активи"</w:t>
      </w:r>
      <w:r w:rsidR="00851F2F" w:rsidRPr="00851F2F">
        <w:rPr>
          <w:rFonts w:ascii="Times New Roman" w:hAnsi="Times New Roman" w:cs="Times New Roman"/>
          <w:color w:val="000000"/>
          <w:sz w:val="24"/>
          <w:szCs w:val="24"/>
        </w:rPr>
        <w:t xml:space="preserve"> са активи, възникнали от трансфер на технологии чрез придобиване на патентни права, лицензи или ноу-хау. </w:t>
      </w:r>
    </w:p>
    <w:p w14:paraId="248FC58F"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26</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„Непреодолима сила или извънредни обстоятелства"</w:t>
      </w:r>
      <w:r w:rsidR="00851F2F" w:rsidRPr="00851F2F">
        <w:rPr>
          <w:rFonts w:ascii="Times New Roman" w:hAnsi="Times New Roman" w:cs="Times New Roman"/>
          <w:color w:val="000000"/>
          <w:sz w:val="24"/>
          <w:szCs w:val="24"/>
        </w:rPr>
        <w:t xml:space="preserve"> са обстоятелства по смисъла на чл. 2, параграф 2 от Регламент (ЕС) № 1306/2013 г. </w:t>
      </w:r>
    </w:p>
    <w:p w14:paraId="3A9AC7B5"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27</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„Нередност"</w:t>
      </w:r>
      <w:r w:rsidR="00851F2F" w:rsidRPr="00851F2F">
        <w:rPr>
          <w:rFonts w:ascii="Times New Roman" w:hAnsi="Times New Roman" w:cs="Times New Roman"/>
          <w:color w:val="000000"/>
          <w:sz w:val="24"/>
          <w:szCs w:val="24"/>
        </w:rPr>
        <w:t xml:space="preserve"> е всяко нарушение на правото на ЕС или на българското законодателство,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 </w:t>
      </w:r>
    </w:p>
    <w:p w14:paraId="5EEC2C8A"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„Новообразувани предприятия"</w:t>
      </w:r>
      <w:r w:rsidR="00851F2F" w:rsidRPr="00851F2F">
        <w:rPr>
          <w:rFonts w:ascii="Times New Roman" w:hAnsi="Times New Roman" w:cs="Times New Roman"/>
          <w:color w:val="000000"/>
          <w:sz w:val="24"/>
          <w:szCs w:val="24"/>
        </w:rPr>
        <w:t xml:space="preserve"> са предприятия по смисъла на Закона за малките и средните предприятия. </w:t>
      </w:r>
    </w:p>
    <w:p w14:paraId="25759668"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29</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„Оперативни разходи"</w:t>
      </w:r>
      <w:r w:rsidR="00851F2F" w:rsidRPr="00851F2F">
        <w:rPr>
          <w:rFonts w:ascii="Times New Roman" w:hAnsi="Times New Roman" w:cs="Times New Roman"/>
          <w:color w:val="000000"/>
          <w:sz w:val="24"/>
          <w:szCs w:val="24"/>
        </w:rPr>
        <w:t xml:space="preserve"> са административните разходи и разходите, свързани с поддръжка и експлоатация на активите. </w:t>
      </w:r>
    </w:p>
    <w:p w14:paraId="2B17D951"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3</w:t>
      </w:r>
      <w:r w:rsidR="007E064C">
        <w:rPr>
          <w:rStyle w:val="alcapt2"/>
          <w:rFonts w:ascii="Times New Roman" w:hAnsi="Times New Roman"/>
          <w:color w:val="000000"/>
          <w:sz w:val="24"/>
          <w:szCs w:val="24"/>
        </w:rPr>
        <w:t>0</w:t>
      </w:r>
      <w:r w:rsidRPr="00851F2F">
        <w:rPr>
          <w:rStyle w:val="alcapt2"/>
          <w:rFonts w:ascii="Times New Roman" w:hAnsi="Times New Roman"/>
          <w:color w:val="000000"/>
          <w:sz w:val="24"/>
          <w:szCs w:val="24"/>
        </w:rPr>
        <w:t>.</w:t>
      </w:r>
      <w:r w:rsidRPr="00851F2F">
        <w:rPr>
          <w:rStyle w:val="ldef2"/>
          <w:rFonts w:ascii="Times New Roman" w:hAnsi="Times New Roman"/>
          <w:sz w:val="24"/>
          <w:szCs w:val="24"/>
        </w:rPr>
        <w:t>„Ползвател"</w:t>
      </w:r>
      <w:r w:rsidRPr="00851F2F">
        <w:rPr>
          <w:rFonts w:ascii="Times New Roman" w:hAnsi="Times New Roman" w:cs="Times New Roman"/>
          <w:color w:val="000000"/>
          <w:sz w:val="24"/>
          <w:szCs w:val="24"/>
        </w:rPr>
        <w:t xml:space="preserve"> е лице, на което е одобрена и/или изплатена финансова помощ по ПРСР 2014 - 2020 г. </w:t>
      </w:r>
    </w:p>
    <w:p w14:paraId="4CF8C17B"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31</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„Преработка на селскостопански продукти"</w:t>
      </w:r>
      <w:r w:rsidR="00851F2F" w:rsidRPr="00851F2F">
        <w:rPr>
          <w:rFonts w:ascii="Times New Roman" w:hAnsi="Times New Roman" w:cs="Times New Roman"/>
          <w:color w:val="000000"/>
          <w:sz w:val="24"/>
          <w:szCs w:val="24"/>
        </w:rPr>
        <w:t xml:space="preserve"> е всяко обработване и технологично въздействие на селскостопански продукт, в резултат на което се получава продукт, който също е селскостопански продукт, с изключение на дейностите, извършвани в стопанството, необходими за приготвяне на животински или растителен продукт за първа продажба. </w:t>
      </w:r>
    </w:p>
    <w:p w14:paraId="7E236957"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32</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„Принос в натура"</w:t>
      </w:r>
      <w:r w:rsidR="00851F2F" w:rsidRPr="00851F2F">
        <w:rPr>
          <w:rFonts w:ascii="Times New Roman" w:hAnsi="Times New Roman" w:cs="Times New Roman"/>
          <w:color w:val="000000"/>
          <w:sz w:val="24"/>
          <w:szCs w:val="24"/>
        </w:rPr>
        <w:t xml:space="preserve"> е 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 </w:t>
      </w:r>
    </w:p>
    <w:p w14:paraId="2F8D30C2"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33</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„Проверка на място"</w:t>
      </w:r>
      <w:r w:rsidR="00851F2F" w:rsidRPr="00851F2F">
        <w:rPr>
          <w:rFonts w:ascii="Times New Roman" w:hAnsi="Times New Roman" w:cs="Times New Roman"/>
          <w:color w:val="000000"/>
          <w:sz w:val="24"/>
          <w:szCs w:val="24"/>
        </w:rPr>
        <w:t xml:space="preserve"> е проверка по смисъла на Регламент (ЕС) № 809/2014. </w:t>
      </w:r>
    </w:p>
    <w:p w14:paraId="56944995"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34</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„Проект"</w:t>
      </w:r>
      <w:r w:rsidR="00851F2F" w:rsidRPr="00851F2F">
        <w:rPr>
          <w:rFonts w:ascii="Times New Roman" w:hAnsi="Times New Roman" w:cs="Times New Roman"/>
          <w:color w:val="000000"/>
          <w:sz w:val="24"/>
          <w:szCs w:val="24"/>
        </w:rPr>
        <w:t xml:space="preserve"> е заявление за подпомагане заедно с всички приложени към него документи, както и съвкупността от материални и нематериални активи и свързаните с тях разходи, заявени от кандидата и допустими за финансиране по ПРСР 2014 - 2020 г. </w:t>
      </w:r>
    </w:p>
    <w:p w14:paraId="11D7C16F"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lastRenderedPageBreak/>
        <w:t>35</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„Публична финансова помощ"</w:t>
      </w:r>
      <w:r w:rsidR="00851F2F" w:rsidRPr="00851F2F">
        <w:rPr>
          <w:rFonts w:ascii="Times New Roman" w:hAnsi="Times New Roman" w:cs="Times New Roman"/>
          <w:color w:val="000000"/>
          <w:sz w:val="24"/>
          <w:szCs w:val="24"/>
        </w:rPr>
        <w:t xml:space="preserve"> е всеки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обществени юридически лица или сдружения на една или повече регионални или местни власти по смисъла на Директива 2004/18/EО на Европейския парламент и на Съвета от 31 март 2004 г. относно координирането на процедурите за възлагане на обществени поръчки за строителство, доставки и услуги, ще се разглежда като обществен дял. </w:t>
      </w:r>
    </w:p>
    <w:p w14:paraId="1D246CCF"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36</w:t>
      </w:r>
      <w:r w:rsidR="00851F2F" w:rsidRPr="00851F2F">
        <w:rPr>
          <w:rStyle w:val="alcapt2"/>
          <w:rFonts w:ascii="Times New Roman" w:hAnsi="Times New Roman"/>
          <w:color w:val="000000"/>
          <w:sz w:val="24"/>
          <w:szCs w:val="24"/>
        </w:rPr>
        <w:t>.</w:t>
      </w:r>
      <w:r w:rsidR="00851F2F" w:rsidRPr="00851F2F">
        <w:rPr>
          <w:rFonts w:ascii="Times New Roman" w:hAnsi="Times New Roman" w:cs="Times New Roman"/>
          <w:color w:val="000000"/>
          <w:sz w:val="24"/>
          <w:szCs w:val="24"/>
        </w:rPr>
        <w:t xml:space="preserve"> (Изм. - ДВ, бр. 69 от 2016 г., в сила от 02.09.2016 г.) </w:t>
      </w:r>
      <w:r w:rsidR="00851F2F" w:rsidRPr="00851F2F">
        <w:rPr>
          <w:rStyle w:val="ldef2"/>
          <w:rFonts w:ascii="Times New Roman" w:hAnsi="Times New Roman"/>
          <w:sz w:val="24"/>
          <w:szCs w:val="24"/>
        </w:rPr>
        <w:t>„Първично селскостопанско производство"</w:t>
      </w:r>
      <w:r w:rsidR="00851F2F" w:rsidRPr="00851F2F">
        <w:rPr>
          <w:rFonts w:ascii="Times New Roman" w:hAnsi="Times New Roman" w:cs="Times New Roman"/>
          <w:color w:val="000000"/>
          <w:sz w:val="24"/>
          <w:szCs w:val="24"/>
        </w:rPr>
        <w:t xml:space="preserve"> е производство на растителните и животинските продукти, изброени в Приложение № I по чл. 38 от Договора за функционирането на Европейския съюз, без да се извършват никакви по-нататъшни операции, с които се променя естеството на тези продукти. </w:t>
      </w:r>
    </w:p>
    <w:p w14:paraId="196EFE7E"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37</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„Разходи за консултантски услуги, свързани с подготовка и управление на проекта"</w:t>
      </w:r>
      <w:r w:rsidR="00851F2F" w:rsidRPr="00851F2F">
        <w:rPr>
          <w:rFonts w:ascii="Times New Roman" w:hAnsi="Times New Roman" w:cs="Times New Roman"/>
          <w:color w:val="000000"/>
          <w:sz w:val="24"/>
          <w:szCs w:val="24"/>
        </w:rPr>
        <w:t xml:space="preserve"> са разходи, извършени преди подаване на заявлението за подпомагане и такива по време на изпълнение на проекта, които задължително включват подготовка на заявление за подпомагане, изработка на бизнес план, анализ за икономическа устойчивост на проекта и подготовка на заявки за плащане, включително отчитане и управление на проекта. </w:t>
      </w:r>
    </w:p>
    <w:p w14:paraId="5225F194"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„Разходи за предпроектно проучване"</w:t>
      </w:r>
      <w:r w:rsidR="00851F2F" w:rsidRPr="00851F2F">
        <w:rPr>
          <w:rFonts w:ascii="Times New Roman" w:hAnsi="Times New Roman" w:cs="Times New Roman"/>
          <w:color w:val="000000"/>
          <w:sz w:val="24"/>
          <w:szCs w:val="24"/>
        </w:rPr>
        <w:t xml:space="preserve"> са разходите за анализите по чл. 30, ал. 1, т. 11, становища и доклади, изготвени от правоспособни лица и представени от кандидата за доказване на техническа осъществимост на проекта, и доклади за екологична устойчивост на проекта. </w:t>
      </w:r>
    </w:p>
    <w:p w14:paraId="14B19163"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39</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„Разходи за инвестиции за обикновена подмяна"</w:t>
      </w:r>
      <w:r w:rsidR="00851F2F" w:rsidRPr="00851F2F">
        <w:rPr>
          <w:rFonts w:ascii="Times New Roman" w:hAnsi="Times New Roman" w:cs="Times New Roman"/>
          <w:color w:val="000000"/>
          <w:sz w:val="24"/>
          <w:szCs w:val="24"/>
        </w:rPr>
        <w:t xml:space="preserve"> са разходи за замяна на активи, които не водят до подобряване на цялостната дейност на кандидата. </w:t>
      </w:r>
    </w:p>
    <w:p w14:paraId="7B23358A"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40</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„Рефинансиране на лихви"</w:t>
      </w:r>
      <w:r w:rsidR="00851F2F" w:rsidRPr="00851F2F">
        <w:rPr>
          <w:rFonts w:ascii="Times New Roman" w:hAnsi="Times New Roman" w:cs="Times New Roman"/>
          <w:color w:val="000000"/>
          <w:sz w:val="24"/>
          <w:szCs w:val="24"/>
        </w:rPr>
        <w:t xml:space="preserve"> е възстановяване на извършените разходи за лихви по заеми. </w:t>
      </w:r>
    </w:p>
    <w:p w14:paraId="10C9E047"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41</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„Референтни разходи"</w:t>
      </w:r>
      <w:r w:rsidR="00851F2F" w:rsidRPr="00851F2F">
        <w:rPr>
          <w:rFonts w:ascii="Times New Roman" w:hAnsi="Times New Roman" w:cs="Times New Roman"/>
          <w:color w:val="000000"/>
          <w:sz w:val="24"/>
          <w:szCs w:val="24"/>
        </w:rPr>
        <w:t xml:space="preserve"> са цени и пределни стойности, ползвани от РА за сравняване при определяне основателността на разходите за различни инвестиции. </w:t>
      </w:r>
    </w:p>
    <w:p w14:paraId="2BADC20F"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42</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„Селскостопански продукти"</w:t>
      </w:r>
      <w:r w:rsidR="00851F2F" w:rsidRPr="00851F2F">
        <w:rPr>
          <w:rFonts w:ascii="Times New Roman" w:hAnsi="Times New Roman" w:cs="Times New Roman"/>
          <w:color w:val="000000"/>
          <w:sz w:val="24"/>
          <w:szCs w:val="24"/>
        </w:rPr>
        <w:t xml:space="preserve"> са продуктите, изброени в Приложение № I от Договора, с изключение на продуктите от риболов и аквакултури, изброени в Приложение I към Регламент (ЕС) № 1379/2013 на Европейския парламент и на Съвета от 11 декември 2013 г. относно общата организация на пазарите на продукти от риболов и аквакултури, за изменение на регламенти (ЕО) № 1184/2006 и (ЕО) № 1224/2009 на Съвета и за отмяна на Регламент (ЕО) № 104/2000 на Съвета (ОВ, L 354/1 от 28 декември 2013 г.). </w:t>
      </w:r>
    </w:p>
    <w:p w14:paraId="43FA911E"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w:t>
      </w:r>
      <w:r w:rsidR="00851F2F" w:rsidRPr="00851F2F">
        <w:rPr>
          <w:rStyle w:val="alcapt2"/>
          <w:rFonts w:ascii="Times New Roman" w:hAnsi="Times New Roman"/>
          <w:color w:val="000000"/>
          <w:sz w:val="24"/>
          <w:szCs w:val="24"/>
        </w:rPr>
        <w:t>3.</w:t>
      </w:r>
      <w:r w:rsidR="00851F2F" w:rsidRPr="00851F2F">
        <w:rPr>
          <w:rStyle w:val="ldef2"/>
          <w:rFonts w:ascii="Times New Roman" w:hAnsi="Times New Roman"/>
          <w:sz w:val="24"/>
          <w:szCs w:val="24"/>
        </w:rPr>
        <w:t>„Стандартен производствен обем"</w:t>
      </w:r>
      <w:r w:rsidR="00851F2F" w:rsidRPr="00851F2F">
        <w:rPr>
          <w:rFonts w:ascii="Times New Roman" w:hAnsi="Times New Roman" w:cs="Times New Roman"/>
          <w:color w:val="000000"/>
          <w:sz w:val="24"/>
          <w:szCs w:val="24"/>
        </w:rPr>
        <w:t xml:space="preserve"> е стойността на продукцията, която отговаря на средната стойност за даден район за всеки един земеделски продукт, изчислена в евро по таблица съгласно приложение № 15. </w:t>
      </w:r>
    </w:p>
    <w:p w14:paraId="7E9DF34D"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44</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„Съпоставими оферти"</w:t>
      </w:r>
      <w:r w:rsidR="00851F2F" w:rsidRPr="00851F2F">
        <w:rPr>
          <w:rFonts w:ascii="Times New Roman" w:hAnsi="Times New Roman" w:cs="Times New Roman"/>
          <w:color w:val="000000"/>
          <w:sz w:val="24"/>
          <w:szCs w:val="24"/>
        </w:rPr>
        <w:t xml:space="preserve"> са оферти, които отговарят на запитването за оферта на кандидата и съдържат: </w:t>
      </w:r>
    </w:p>
    <w:p w14:paraId="0C8BD526"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lastRenderedPageBreak/>
        <w:t>а)</w:t>
      </w:r>
      <w:r w:rsidRPr="00851F2F">
        <w:rPr>
          <w:rFonts w:ascii="Times New Roman" w:hAnsi="Times New Roman" w:cs="Times New Roman"/>
          <w:color w:val="000000"/>
          <w:sz w:val="24"/>
          <w:szCs w:val="24"/>
        </w:rPr>
        <w:t xml:space="preserve"> еднотипни основни технически характеристики - в случаите, когато се кандидатства за разходи за закупуване на машини и земеделска техника; </w:t>
      </w:r>
    </w:p>
    <w:p w14:paraId="6B7CD62A"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б)</w:t>
      </w:r>
      <w:r w:rsidRPr="00851F2F">
        <w:rPr>
          <w:rFonts w:ascii="Times New Roman" w:hAnsi="Times New Roman" w:cs="Times New Roman"/>
          <w:color w:val="000000"/>
          <w:sz w:val="24"/>
          <w:szCs w:val="24"/>
        </w:rPr>
        <w:t xml:space="preserve"> общ капацитет на оборудването - в случаите, когато се кандидатства за разходи за закупуване на оборудване или производствени линии, съставени от различни машини, съоръжения и оборудване; </w:t>
      </w:r>
    </w:p>
    <w:p w14:paraId="2F30EE6A" w14:textId="77777777" w:rsidR="00851F2F" w:rsidRPr="00851F2F" w:rsidRDefault="00851F2F" w:rsidP="00851F2F">
      <w:pPr>
        <w:ind w:firstLine="480"/>
        <w:jc w:val="both"/>
        <w:rPr>
          <w:rFonts w:ascii="Times New Roman" w:hAnsi="Times New Roman" w:cs="Times New Roman"/>
          <w:color w:val="000000"/>
          <w:sz w:val="24"/>
          <w:szCs w:val="24"/>
        </w:rPr>
      </w:pPr>
      <w:r w:rsidRPr="00851F2F">
        <w:rPr>
          <w:rStyle w:val="alcapt2"/>
          <w:rFonts w:ascii="Times New Roman" w:hAnsi="Times New Roman"/>
          <w:color w:val="000000"/>
          <w:sz w:val="24"/>
          <w:szCs w:val="24"/>
        </w:rPr>
        <w:t>в)</w:t>
      </w:r>
      <w:r w:rsidRPr="00851F2F">
        <w:rPr>
          <w:rFonts w:ascii="Times New Roman" w:hAnsi="Times New Roman" w:cs="Times New Roman"/>
          <w:color w:val="000000"/>
          <w:sz w:val="24"/>
          <w:szCs w:val="24"/>
        </w:rPr>
        <w:t xml:space="preserve"> количествено-стойностни сметки - в случаите, когато се кандидатства за разходи за извършване на строително-монтажни работи. </w:t>
      </w:r>
    </w:p>
    <w:p w14:paraId="03371461" w14:textId="77777777" w:rsidR="00851F2F" w:rsidRPr="00851F2F" w:rsidRDefault="007E064C" w:rsidP="007E064C">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45</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„Създаване на работни места"</w:t>
      </w:r>
      <w:r w:rsidR="00851F2F" w:rsidRPr="00851F2F">
        <w:rPr>
          <w:rFonts w:ascii="Times New Roman" w:hAnsi="Times New Roman" w:cs="Times New Roman"/>
          <w:color w:val="000000"/>
          <w:sz w:val="24"/>
          <w:szCs w:val="24"/>
        </w:rPr>
        <w:t xml:space="preserve"> е нетното увеличение на броя на служителите в съответното предприятие в сравнение със средния им брой през предходните 12 месеца, след като от номиналния брой създадени работни места бъдат приспаднати изгубените през този период работни места. </w:t>
      </w:r>
    </w:p>
    <w:p w14:paraId="731585BB"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46</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„Технологично въздействие"</w:t>
      </w:r>
      <w:r w:rsidR="00851F2F" w:rsidRPr="00851F2F">
        <w:rPr>
          <w:rFonts w:ascii="Times New Roman" w:hAnsi="Times New Roman" w:cs="Times New Roman"/>
          <w:color w:val="000000"/>
          <w:sz w:val="24"/>
          <w:szCs w:val="24"/>
        </w:rPr>
        <w:t xml:space="preserve"> е онази част от производствения процес, при която има пряко преобразуване на свойствата или качественото състояние на първоначалния продукт. </w:t>
      </w:r>
    </w:p>
    <w:p w14:paraId="1BB8557E" w14:textId="77777777" w:rsidR="00851F2F" w:rsidRPr="00851F2F" w:rsidRDefault="007E064C" w:rsidP="00851F2F">
      <w:pPr>
        <w:ind w:firstLine="480"/>
        <w:jc w:val="both"/>
        <w:rPr>
          <w:rFonts w:ascii="Times New Roman" w:hAnsi="Times New Roman" w:cs="Times New Roman"/>
          <w:color w:val="000000"/>
          <w:sz w:val="24"/>
          <w:szCs w:val="24"/>
        </w:rPr>
      </w:pPr>
      <w:r>
        <w:rPr>
          <w:rStyle w:val="alcapt2"/>
          <w:rFonts w:ascii="Times New Roman" w:hAnsi="Times New Roman"/>
          <w:color w:val="000000"/>
          <w:sz w:val="24"/>
          <w:szCs w:val="24"/>
        </w:rPr>
        <w:t>47</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 xml:space="preserve">„Уникален </w:t>
      </w:r>
      <w:r w:rsidR="00712AB6">
        <w:rPr>
          <w:rStyle w:val="ldef2"/>
          <w:rFonts w:ascii="Times New Roman" w:hAnsi="Times New Roman"/>
          <w:sz w:val="24"/>
          <w:szCs w:val="24"/>
        </w:rPr>
        <w:t>регистр</w:t>
      </w:r>
      <w:r w:rsidR="00851F2F" w:rsidRPr="00851F2F">
        <w:rPr>
          <w:rStyle w:val="ldef2"/>
          <w:rFonts w:ascii="Times New Roman" w:hAnsi="Times New Roman"/>
          <w:sz w:val="24"/>
          <w:szCs w:val="24"/>
        </w:rPr>
        <w:t>ационен номер"</w:t>
      </w:r>
      <w:r w:rsidR="00851F2F" w:rsidRPr="00851F2F">
        <w:rPr>
          <w:rFonts w:ascii="Times New Roman" w:hAnsi="Times New Roman" w:cs="Times New Roman"/>
          <w:color w:val="000000"/>
          <w:sz w:val="24"/>
          <w:szCs w:val="24"/>
        </w:rPr>
        <w:t xml:space="preserve"> е регистрационен номер, който се издава на кандидата от служител в РА след положително становище от извършен преглед на документите към заявлението за подпомагане. </w:t>
      </w:r>
    </w:p>
    <w:p w14:paraId="09B4853D" w14:textId="77777777" w:rsidR="00D13D48" w:rsidRPr="00851F2F" w:rsidRDefault="007E064C" w:rsidP="007E064C">
      <w:pPr>
        <w:ind w:firstLine="480"/>
        <w:rPr>
          <w:rFonts w:ascii="Times New Roman" w:hAnsi="Times New Roman" w:cs="Times New Roman"/>
          <w:sz w:val="24"/>
          <w:szCs w:val="24"/>
        </w:rPr>
      </w:pPr>
      <w:r>
        <w:rPr>
          <w:rStyle w:val="alcapt2"/>
          <w:rFonts w:ascii="Times New Roman" w:hAnsi="Times New Roman"/>
          <w:color w:val="000000"/>
          <w:sz w:val="24"/>
          <w:szCs w:val="24"/>
        </w:rPr>
        <w:t>48</w:t>
      </w:r>
      <w:r w:rsidR="00851F2F" w:rsidRPr="00851F2F">
        <w:rPr>
          <w:rStyle w:val="alcapt2"/>
          <w:rFonts w:ascii="Times New Roman" w:hAnsi="Times New Roman"/>
          <w:color w:val="000000"/>
          <w:sz w:val="24"/>
          <w:szCs w:val="24"/>
        </w:rPr>
        <w:t>.</w:t>
      </w:r>
      <w:r w:rsidR="00851F2F" w:rsidRPr="00851F2F">
        <w:rPr>
          <w:rStyle w:val="ldef2"/>
          <w:rFonts w:ascii="Times New Roman" w:hAnsi="Times New Roman"/>
          <w:sz w:val="24"/>
          <w:szCs w:val="24"/>
        </w:rPr>
        <w:t>„Частичен отказ за финансиране"</w:t>
      </w:r>
      <w:r w:rsidR="00851F2F" w:rsidRPr="00851F2F">
        <w:rPr>
          <w:rFonts w:ascii="Times New Roman" w:hAnsi="Times New Roman" w:cs="Times New Roman"/>
          <w:color w:val="000000"/>
          <w:sz w:val="24"/>
          <w:szCs w:val="24"/>
        </w:rPr>
        <w:t xml:space="preserve"> е отказът да се финансират част от заявените разходи на кандидата, които са включени в проект, одобрен за подпомагане по ПРСР 2014 - 2020 г.</w:t>
      </w:r>
    </w:p>
    <w:sectPr w:rsidR="00D13D48" w:rsidRPr="00851F2F" w:rsidSect="00851F2F">
      <w:pgSz w:w="11906" w:h="16838"/>
      <w:pgMar w:top="1417" w:right="849"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51F2F"/>
    <w:rsid w:val="00024EFA"/>
    <w:rsid w:val="00080BE8"/>
    <w:rsid w:val="002844CE"/>
    <w:rsid w:val="002C078F"/>
    <w:rsid w:val="003F4190"/>
    <w:rsid w:val="00474773"/>
    <w:rsid w:val="004A51A7"/>
    <w:rsid w:val="00510D43"/>
    <w:rsid w:val="005F1A51"/>
    <w:rsid w:val="006F11CB"/>
    <w:rsid w:val="00712AB6"/>
    <w:rsid w:val="0076171E"/>
    <w:rsid w:val="007E064C"/>
    <w:rsid w:val="00832E41"/>
    <w:rsid w:val="00851F2F"/>
    <w:rsid w:val="00861E8E"/>
    <w:rsid w:val="00975288"/>
    <w:rsid w:val="00B45181"/>
    <w:rsid w:val="00C9597E"/>
    <w:rsid w:val="00D13D48"/>
    <w:rsid w:val="00E06402"/>
    <w:rsid w:val="00F22DF4"/>
    <w:rsid w:val="00F53BCC"/>
    <w:rsid w:val="00F82992"/>
    <w:rsid w:val="00F97204"/>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EACE2"/>
  <w15:docId w15:val="{B9851AEF-F030-404A-BF4B-8627EFC41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1F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lcapt2">
    <w:name w:val="al_capt2"/>
    <w:rsid w:val="00851F2F"/>
    <w:rPr>
      <w:rFonts w:cs="Times New Roman"/>
      <w:i/>
      <w:iCs/>
    </w:rPr>
  </w:style>
  <w:style w:type="character" w:customStyle="1" w:styleId="ldef2">
    <w:name w:val="ldef2"/>
    <w:rsid w:val="00851F2F"/>
    <w:rPr>
      <w:rFonts w:cs="Times New Roman"/>
      <w:color w:val="FF0000"/>
    </w:rPr>
  </w:style>
  <w:style w:type="paragraph" w:styleId="a3">
    <w:name w:val="Balloon Text"/>
    <w:basedOn w:val="a"/>
    <w:link w:val="a4"/>
    <w:uiPriority w:val="99"/>
    <w:semiHidden/>
    <w:unhideWhenUsed/>
    <w:rsid w:val="004A51A7"/>
    <w:pPr>
      <w:spacing w:after="0" w:line="240" w:lineRule="auto"/>
    </w:pPr>
    <w:rPr>
      <w:rFonts w:ascii="Tahoma" w:hAnsi="Tahoma" w:cs="Tahoma"/>
      <w:sz w:val="16"/>
      <w:szCs w:val="16"/>
    </w:rPr>
  </w:style>
  <w:style w:type="character" w:customStyle="1" w:styleId="a4">
    <w:name w:val="Изнесен текст Знак"/>
    <w:basedOn w:val="a0"/>
    <w:link w:val="a3"/>
    <w:uiPriority w:val="99"/>
    <w:semiHidden/>
    <w:rsid w:val="004A51A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6188D9-3B9F-49A9-89A5-DBBDE25EF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2747</Words>
  <Characters>15660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Потребител на Windows</cp:lastModifiedBy>
  <cp:revision>16</cp:revision>
  <dcterms:created xsi:type="dcterms:W3CDTF">2018-05-11T15:55:00Z</dcterms:created>
  <dcterms:modified xsi:type="dcterms:W3CDTF">2020-02-04T11:43:00Z</dcterms:modified>
</cp:coreProperties>
</file>